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8CCE" w14:textId="397185EE" w:rsidR="00EB620B" w:rsidRPr="003C71DD" w:rsidRDefault="001149F0">
      <w:pPr>
        <w:rPr>
          <w:rFonts w:ascii="Arial" w:hAnsi="Arial" w:cs="Arial"/>
          <w:sz w:val="24"/>
          <w:szCs w:val="24"/>
        </w:rPr>
      </w:pPr>
      <w:bookmarkStart w:id="0" w:name="_GoBack"/>
      <w:bookmarkEnd w:id="0"/>
      <w:r w:rsidRPr="003C71DD">
        <w:rPr>
          <w:rFonts w:ascii="Arial" w:hAnsi="Arial" w:cs="Arial"/>
          <w:sz w:val="24"/>
          <w:szCs w:val="24"/>
        </w:rPr>
        <w:t>Appendix 1 – For Information Only</w:t>
      </w:r>
    </w:p>
    <w:p w14:paraId="532BDBE5" w14:textId="549FB143" w:rsidR="001149F0" w:rsidRPr="003C71DD" w:rsidRDefault="001149F0">
      <w:pPr>
        <w:rPr>
          <w:rFonts w:ascii="Arial" w:hAnsi="Arial" w:cs="Arial"/>
          <w:sz w:val="24"/>
          <w:szCs w:val="24"/>
        </w:rPr>
      </w:pPr>
    </w:p>
    <w:p w14:paraId="0D6045B6" w14:textId="15762932" w:rsidR="001149F0" w:rsidRPr="003C71DD" w:rsidRDefault="001149F0" w:rsidP="001149F0">
      <w:pPr>
        <w:jc w:val="center"/>
        <w:rPr>
          <w:rFonts w:ascii="Arial" w:hAnsi="Arial" w:cs="Arial"/>
          <w:b/>
          <w:bCs/>
          <w:sz w:val="24"/>
          <w:szCs w:val="24"/>
          <w:u w:val="single"/>
        </w:rPr>
      </w:pPr>
      <w:r w:rsidRPr="003C71DD">
        <w:rPr>
          <w:rFonts w:ascii="Arial" w:hAnsi="Arial" w:cs="Arial"/>
          <w:b/>
          <w:bCs/>
          <w:sz w:val="24"/>
          <w:szCs w:val="24"/>
          <w:u w:val="single"/>
        </w:rPr>
        <w:t>Options regarding works to protected trees</w:t>
      </w:r>
    </w:p>
    <w:p w14:paraId="71170EB2" w14:textId="0A901D75" w:rsidR="001149F0" w:rsidRPr="003C71DD" w:rsidRDefault="001149F0" w:rsidP="001149F0">
      <w:pPr>
        <w:jc w:val="center"/>
        <w:rPr>
          <w:rFonts w:ascii="Arial" w:hAnsi="Arial" w:cs="Arial"/>
          <w:b/>
          <w:bCs/>
          <w:sz w:val="24"/>
          <w:szCs w:val="24"/>
          <w:u w:val="single"/>
        </w:rPr>
      </w:pPr>
    </w:p>
    <w:p w14:paraId="55C6D5C3" w14:textId="5BA28598" w:rsidR="001149F0" w:rsidRPr="003C71DD" w:rsidRDefault="001149F0" w:rsidP="001149F0">
      <w:pPr>
        <w:jc w:val="both"/>
        <w:rPr>
          <w:rFonts w:ascii="Arial" w:hAnsi="Arial" w:cs="Arial"/>
          <w:b/>
          <w:bCs/>
          <w:sz w:val="24"/>
          <w:szCs w:val="24"/>
          <w:u w:val="single"/>
        </w:rPr>
      </w:pPr>
      <w:r w:rsidRPr="003C71DD">
        <w:rPr>
          <w:rFonts w:ascii="Arial" w:hAnsi="Arial" w:cs="Arial"/>
          <w:b/>
          <w:bCs/>
          <w:sz w:val="24"/>
          <w:szCs w:val="24"/>
          <w:u w:val="single"/>
        </w:rPr>
        <w:t>Background</w:t>
      </w:r>
    </w:p>
    <w:p w14:paraId="1BE08F3B" w14:textId="21BAEA12" w:rsidR="001149F0" w:rsidRPr="003C71DD" w:rsidRDefault="001149F0" w:rsidP="001149F0">
      <w:pPr>
        <w:jc w:val="both"/>
        <w:rPr>
          <w:rFonts w:ascii="Arial" w:hAnsi="Arial" w:cs="Arial"/>
          <w:sz w:val="24"/>
          <w:szCs w:val="24"/>
        </w:rPr>
      </w:pPr>
      <w:r w:rsidRPr="003C71DD">
        <w:rPr>
          <w:rFonts w:ascii="Arial" w:hAnsi="Arial" w:cs="Arial"/>
          <w:sz w:val="24"/>
          <w:szCs w:val="24"/>
        </w:rPr>
        <w:t>Under the Town and Country Planning Act 1990 Section 211 covers trees in conservation areas.</w:t>
      </w:r>
    </w:p>
    <w:p w14:paraId="394ABC45" w14:textId="09A0C00F" w:rsidR="001149F0" w:rsidRPr="003C71DD" w:rsidRDefault="001149F0" w:rsidP="001149F0">
      <w:pPr>
        <w:jc w:val="both"/>
        <w:rPr>
          <w:rFonts w:ascii="Arial" w:hAnsi="Arial" w:cs="Arial"/>
          <w:sz w:val="24"/>
          <w:szCs w:val="24"/>
        </w:rPr>
      </w:pPr>
      <w:r w:rsidRPr="003C71DD">
        <w:rPr>
          <w:rFonts w:ascii="Arial" w:hAnsi="Arial" w:cs="Arial"/>
          <w:sz w:val="24"/>
          <w:szCs w:val="24"/>
        </w:rPr>
        <w:t xml:space="preserve">In </w:t>
      </w:r>
      <w:r w:rsidR="001C1D82">
        <w:rPr>
          <w:rFonts w:ascii="Arial" w:hAnsi="Arial" w:cs="Arial"/>
          <w:sz w:val="24"/>
          <w:szCs w:val="24"/>
        </w:rPr>
        <w:t xml:space="preserve">brief, </w:t>
      </w:r>
      <w:r w:rsidRPr="003C71DD">
        <w:rPr>
          <w:rFonts w:ascii="Arial" w:hAnsi="Arial" w:cs="Arial"/>
          <w:sz w:val="24"/>
          <w:szCs w:val="24"/>
        </w:rPr>
        <w:t xml:space="preserve"> it is an offence for persons to undertake works</w:t>
      </w:r>
      <w:r w:rsidR="001115C9">
        <w:rPr>
          <w:rFonts w:ascii="Arial" w:hAnsi="Arial" w:cs="Arial"/>
          <w:sz w:val="24"/>
          <w:szCs w:val="24"/>
        </w:rPr>
        <w:t>, which might be prohibited by a tree preservation order,</w:t>
      </w:r>
      <w:r w:rsidRPr="003C71DD">
        <w:rPr>
          <w:rFonts w:ascii="Arial" w:hAnsi="Arial" w:cs="Arial"/>
          <w:sz w:val="24"/>
          <w:szCs w:val="24"/>
        </w:rPr>
        <w:t xml:space="preserve"> to</w:t>
      </w:r>
      <w:r w:rsidR="00185555">
        <w:rPr>
          <w:rFonts w:ascii="Arial" w:hAnsi="Arial" w:cs="Arial"/>
          <w:sz w:val="24"/>
          <w:szCs w:val="24"/>
        </w:rPr>
        <w:t xml:space="preserve"> a tree in a conservation area </w:t>
      </w:r>
      <w:r w:rsidR="00EA7CAD">
        <w:rPr>
          <w:rFonts w:ascii="Arial" w:hAnsi="Arial" w:cs="Arial"/>
          <w:sz w:val="24"/>
          <w:szCs w:val="24"/>
        </w:rPr>
        <w:t xml:space="preserve">unless they have served a notice </w:t>
      </w:r>
      <w:r w:rsidR="004429FE">
        <w:rPr>
          <w:rFonts w:ascii="Arial" w:hAnsi="Arial" w:cs="Arial"/>
          <w:sz w:val="24"/>
          <w:szCs w:val="24"/>
        </w:rPr>
        <w:t>on</w:t>
      </w:r>
      <w:r w:rsidR="00EA7CAD">
        <w:rPr>
          <w:rFonts w:ascii="Arial" w:hAnsi="Arial" w:cs="Arial"/>
          <w:sz w:val="24"/>
          <w:szCs w:val="24"/>
        </w:rPr>
        <w:t xml:space="preserve"> the </w:t>
      </w:r>
      <w:r w:rsidR="00AD7333">
        <w:rPr>
          <w:rFonts w:ascii="Arial" w:hAnsi="Arial" w:cs="Arial"/>
          <w:sz w:val="24"/>
          <w:szCs w:val="24"/>
        </w:rPr>
        <w:t xml:space="preserve">local planning authority </w:t>
      </w:r>
      <w:r w:rsidR="00B91D56">
        <w:rPr>
          <w:rFonts w:ascii="Arial" w:hAnsi="Arial" w:cs="Arial"/>
          <w:sz w:val="24"/>
          <w:szCs w:val="24"/>
        </w:rPr>
        <w:t xml:space="preserve"> (LPA) </w:t>
      </w:r>
      <w:r w:rsidR="00AC51BB">
        <w:rPr>
          <w:rFonts w:ascii="Arial" w:hAnsi="Arial" w:cs="Arial"/>
          <w:sz w:val="24"/>
          <w:szCs w:val="24"/>
        </w:rPr>
        <w:t xml:space="preserve">and it </w:t>
      </w:r>
      <w:r w:rsidR="00AD7333">
        <w:rPr>
          <w:rFonts w:ascii="Arial" w:hAnsi="Arial" w:cs="Arial"/>
          <w:sz w:val="24"/>
          <w:szCs w:val="24"/>
        </w:rPr>
        <w:t xml:space="preserve">has consented to the works or </w:t>
      </w:r>
      <w:r w:rsidR="00AC51BB">
        <w:rPr>
          <w:rFonts w:ascii="Arial" w:hAnsi="Arial" w:cs="Arial"/>
          <w:sz w:val="24"/>
          <w:szCs w:val="24"/>
        </w:rPr>
        <w:t xml:space="preserve">the works are done after </w:t>
      </w:r>
      <w:r w:rsidR="00AD7333">
        <w:rPr>
          <w:rFonts w:ascii="Arial" w:hAnsi="Arial" w:cs="Arial"/>
          <w:sz w:val="24"/>
          <w:szCs w:val="24"/>
        </w:rPr>
        <w:t>the expiry of six weeks</w:t>
      </w:r>
      <w:r w:rsidR="001115C9">
        <w:rPr>
          <w:rFonts w:ascii="Arial" w:hAnsi="Arial" w:cs="Arial"/>
          <w:sz w:val="24"/>
          <w:szCs w:val="24"/>
        </w:rPr>
        <w:t xml:space="preserve"> </w:t>
      </w:r>
      <w:r w:rsidR="00E05236">
        <w:rPr>
          <w:rFonts w:ascii="Arial" w:hAnsi="Arial" w:cs="Arial"/>
          <w:sz w:val="24"/>
          <w:szCs w:val="24"/>
        </w:rPr>
        <w:t>but</w:t>
      </w:r>
      <w:r w:rsidR="001115C9">
        <w:rPr>
          <w:rFonts w:ascii="Arial" w:hAnsi="Arial" w:cs="Arial"/>
          <w:sz w:val="24"/>
          <w:szCs w:val="24"/>
        </w:rPr>
        <w:t xml:space="preserve"> before the expiry of two years from the date of the notice</w:t>
      </w:r>
      <w:r w:rsidR="008B08B7">
        <w:rPr>
          <w:rFonts w:ascii="Arial" w:hAnsi="Arial" w:cs="Arial"/>
          <w:sz w:val="24"/>
          <w:szCs w:val="24"/>
        </w:rPr>
        <w:t>.</w:t>
      </w:r>
      <w:r w:rsidR="005C530D">
        <w:rPr>
          <w:rFonts w:ascii="Arial" w:hAnsi="Arial" w:cs="Arial"/>
          <w:sz w:val="24"/>
          <w:szCs w:val="24"/>
        </w:rPr>
        <w:t xml:space="preserve"> The purpose of the six </w:t>
      </w:r>
      <w:proofErr w:type="spellStart"/>
      <w:r w:rsidR="005C530D">
        <w:rPr>
          <w:rFonts w:ascii="Arial" w:hAnsi="Arial" w:cs="Arial"/>
          <w:sz w:val="24"/>
          <w:szCs w:val="24"/>
        </w:rPr>
        <w:t>weeks notice</w:t>
      </w:r>
      <w:proofErr w:type="spellEnd"/>
      <w:r w:rsidR="005C530D">
        <w:rPr>
          <w:rFonts w:ascii="Arial" w:hAnsi="Arial" w:cs="Arial"/>
          <w:sz w:val="24"/>
          <w:szCs w:val="24"/>
        </w:rPr>
        <w:t xml:space="preserve"> is </w:t>
      </w:r>
      <w:r w:rsidR="00600437">
        <w:rPr>
          <w:rFonts w:ascii="Arial" w:hAnsi="Arial" w:cs="Arial"/>
          <w:sz w:val="24"/>
          <w:szCs w:val="24"/>
        </w:rPr>
        <w:t>to enable the LPA to make a tree preservation order</w:t>
      </w:r>
      <w:r w:rsidR="00B974A5">
        <w:rPr>
          <w:rFonts w:ascii="Arial" w:hAnsi="Arial" w:cs="Arial"/>
          <w:sz w:val="24"/>
          <w:szCs w:val="24"/>
        </w:rPr>
        <w:t>, if considered nece</w:t>
      </w:r>
      <w:r w:rsidR="00F60302">
        <w:rPr>
          <w:rFonts w:ascii="Arial" w:hAnsi="Arial" w:cs="Arial"/>
          <w:sz w:val="24"/>
          <w:szCs w:val="24"/>
        </w:rPr>
        <w:t>ssary.</w:t>
      </w:r>
    </w:p>
    <w:p w14:paraId="127F4FA4" w14:textId="3B125DF4" w:rsidR="001149F0" w:rsidRPr="003C71DD" w:rsidRDefault="001149F0" w:rsidP="001149F0">
      <w:pPr>
        <w:jc w:val="both"/>
        <w:rPr>
          <w:rFonts w:ascii="Arial" w:hAnsi="Arial" w:cs="Arial"/>
          <w:sz w:val="24"/>
          <w:szCs w:val="24"/>
        </w:rPr>
      </w:pPr>
      <w:r w:rsidRPr="003C71DD">
        <w:rPr>
          <w:rFonts w:ascii="Arial" w:hAnsi="Arial" w:cs="Arial"/>
          <w:sz w:val="24"/>
          <w:szCs w:val="24"/>
        </w:rPr>
        <w:t>Once a notice is received the LPA must consider the expediency of issuing a Tree Preservation Order to formally protect the tree(s) in perpetuity.</w:t>
      </w:r>
    </w:p>
    <w:p w14:paraId="697DC06E" w14:textId="0CC47846" w:rsidR="001149F0" w:rsidRPr="003C71DD" w:rsidRDefault="001149F0" w:rsidP="001149F0">
      <w:pPr>
        <w:jc w:val="both"/>
        <w:rPr>
          <w:rFonts w:ascii="Arial" w:hAnsi="Arial" w:cs="Arial"/>
          <w:sz w:val="24"/>
          <w:szCs w:val="24"/>
        </w:rPr>
      </w:pPr>
      <w:r w:rsidRPr="003C71DD">
        <w:rPr>
          <w:rFonts w:ascii="Arial" w:hAnsi="Arial" w:cs="Arial"/>
          <w:sz w:val="24"/>
          <w:szCs w:val="24"/>
        </w:rPr>
        <w:t xml:space="preserve">Such a consideration will </w:t>
      </w:r>
      <w:proofErr w:type="gramStart"/>
      <w:r w:rsidRPr="003C71DD">
        <w:rPr>
          <w:rFonts w:ascii="Arial" w:hAnsi="Arial" w:cs="Arial"/>
          <w:sz w:val="24"/>
          <w:szCs w:val="24"/>
        </w:rPr>
        <w:t>take into account</w:t>
      </w:r>
      <w:proofErr w:type="gramEnd"/>
      <w:r w:rsidRPr="003C71DD">
        <w:rPr>
          <w:rFonts w:ascii="Arial" w:hAnsi="Arial" w:cs="Arial"/>
          <w:sz w:val="24"/>
          <w:szCs w:val="24"/>
        </w:rPr>
        <w:t xml:space="preserve"> amenity value of the tree, species (rarity value and indigenous nature) and the form of the tree. </w:t>
      </w:r>
    </w:p>
    <w:p w14:paraId="03FC82B3" w14:textId="600798D4" w:rsidR="001149F0" w:rsidRPr="003C71DD" w:rsidRDefault="001149F0" w:rsidP="001149F0">
      <w:pPr>
        <w:jc w:val="both"/>
        <w:rPr>
          <w:rFonts w:ascii="Arial" w:hAnsi="Arial" w:cs="Arial"/>
          <w:sz w:val="24"/>
          <w:szCs w:val="24"/>
        </w:rPr>
      </w:pPr>
      <w:r w:rsidRPr="003C71DD">
        <w:rPr>
          <w:rFonts w:ascii="Arial" w:hAnsi="Arial" w:cs="Arial"/>
          <w:sz w:val="24"/>
          <w:szCs w:val="24"/>
        </w:rPr>
        <w:t>Should the Council not issue a TPO then the works or removal of the Tree are able to take place upon either the issuance of a no objection from the LPA or the expiry of the</w:t>
      </w:r>
      <w:r w:rsidR="00CA5CDD">
        <w:rPr>
          <w:rFonts w:ascii="Arial" w:hAnsi="Arial" w:cs="Arial"/>
          <w:sz w:val="24"/>
          <w:szCs w:val="24"/>
        </w:rPr>
        <w:t xml:space="preserve"> </w:t>
      </w:r>
      <w:r w:rsidR="00275E7A">
        <w:rPr>
          <w:rFonts w:ascii="Arial" w:hAnsi="Arial" w:cs="Arial"/>
          <w:sz w:val="24"/>
          <w:szCs w:val="24"/>
        </w:rPr>
        <w:t>six week</w:t>
      </w:r>
      <w:r w:rsidR="00CA5CDD">
        <w:rPr>
          <w:rFonts w:ascii="Arial" w:hAnsi="Arial" w:cs="Arial"/>
          <w:sz w:val="24"/>
          <w:szCs w:val="24"/>
        </w:rPr>
        <w:t xml:space="preserve"> </w:t>
      </w:r>
      <w:proofErr w:type="spellStart"/>
      <w:r w:rsidR="00CA5CDD">
        <w:rPr>
          <w:rFonts w:ascii="Arial" w:hAnsi="Arial" w:cs="Arial"/>
          <w:sz w:val="24"/>
          <w:szCs w:val="24"/>
        </w:rPr>
        <w:t>statuatory</w:t>
      </w:r>
      <w:proofErr w:type="spellEnd"/>
      <w:r w:rsidR="00CA5CDD">
        <w:rPr>
          <w:rFonts w:ascii="Arial" w:hAnsi="Arial" w:cs="Arial"/>
          <w:sz w:val="24"/>
          <w:szCs w:val="24"/>
        </w:rPr>
        <w:t xml:space="preserve"> period</w:t>
      </w:r>
      <w:r w:rsidRPr="003C71DD">
        <w:rPr>
          <w:rFonts w:ascii="Arial" w:hAnsi="Arial" w:cs="Arial"/>
          <w:sz w:val="24"/>
          <w:szCs w:val="24"/>
        </w:rPr>
        <w:t>.</w:t>
      </w:r>
    </w:p>
    <w:p w14:paraId="5D847BAE" w14:textId="6231B6E8" w:rsidR="001149F0" w:rsidRPr="003C71DD" w:rsidRDefault="001149F0" w:rsidP="001149F0">
      <w:pPr>
        <w:jc w:val="both"/>
        <w:rPr>
          <w:rFonts w:ascii="Arial" w:hAnsi="Arial" w:cs="Arial"/>
          <w:b/>
          <w:bCs/>
          <w:sz w:val="24"/>
          <w:szCs w:val="24"/>
          <w:u w:val="single"/>
        </w:rPr>
      </w:pPr>
      <w:r w:rsidRPr="003C71DD">
        <w:rPr>
          <w:rFonts w:ascii="Arial" w:hAnsi="Arial" w:cs="Arial"/>
          <w:b/>
          <w:bCs/>
          <w:sz w:val="24"/>
          <w:szCs w:val="24"/>
          <w:u w:val="single"/>
        </w:rPr>
        <w:t>Unlawful Works</w:t>
      </w:r>
    </w:p>
    <w:p w14:paraId="2842D825" w14:textId="382A3197" w:rsidR="001149F0" w:rsidRPr="003C71DD" w:rsidRDefault="001149F0" w:rsidP="001149F0">
      <w:pPr>
        <w:jc w:val="both"/>
        <w:rPr>
          <w:rFonts w:ascii="Arial" w:hAnsi="Arial" w:cs="Arial"/>
          <w:sz w:val="24"/>
          <w:szCs w:val="24"/>
        </w:rPr>
      </w:pPr>
      <w:r w:rsidRPr="003C71DD">
        <w:rPr>
          <w:rFonts w:ascii="Arial" w:hAnsi="Arial" w:cs="Arial"/>
          <w:sz w:val="24"/>
          <w:szCs w:val="24"/>
        </w:rPr>
        <w:t>It is a criminal offense to undertake works to trees within a conservation area without first serving notice on the LPA.</w:t>
      </w:r>
    </w:p>
    <w:p w14:paraId="45BD376F" w14:textId="1E7ED68F" w:rsidR="001149F0" w:rsidRPr="003C71DD" w:rsidRDefault="001149F0" w:rsidP="001149F0">
      <w:pPr>
        <w:jc w:val="both"/>
        <w:rPr>
          <w:rFonts w:ascii="Arial" w:hAnsi="Arial" w:cs="Arial"/>
          <w:sz w:val="24"/>
          <w:szCs w:val="24"/>
        </w:rPr>
      </w:pPr>
      <w:r w:rsidRPr="003C71DD">
        <w:rPr>
          <w:rFonts w:ascii="Arial" w:hAnsi="Arial" w:cs="Arial"/>
          <w:sz w:val="24"/>
          <w:szCs w:val="24"/>
        </w:rPr>
        <w:t xml:space="preserve">S213 of the Town and Country Planning act </w:t>
      </w:r>
      <w:r w:rsidR="00AD5C6E">
        <w:rPr>
          <w:rFonts w:ascii="Arial" w:hAnsi="Arial" w:cs="Arial"/>
          <w:sz w:val="24"/>
          <w:szCs w:val="24"/>
        </w:rPr>
        <w:t>imposes</w:t>
      </w:r>
      <w:r w:rsidR="00CA5CDD">
        <w:rPr>
          <w:rFonts w:ascii="Arial" w:hAnsi="Arial" w:cs="Arial"/>
          <w:sz w:val="24"/>
          <w:szCs w:val="24"/>
        </w:rPr>
        <w:t xml:space="preserve"> </w:t>
      </w:r>
      <w:r w:rsidRPr="003C71DD">
        <w:rPr>
          <w:rFonts w:ascii="Arial" w:hAnsi="Arial" w:cs="Arial"/>
          <w:sz w:val="24"/>
          <w:szCs w:val="24"/>
        </w:rPr>
        <w:t>a duty to replace the tree with “another tree of an appropriate size and species at the same place as soon as he reasonably can”</w:t>
      </w:r>
    </w:p>
    <w:p w14:paraId="6199C398" w14:textId="1D120174" w:rsidR="001149F0" w:rsidRPr="003C71DD" w:rsidRDefault="001149F0" w:rsidP="001149F0">
      <w:pPr>
        <w:jc w:val="both"/>
        <w:rPr>
          <w:rFonts w:ascii="Arial" w:hAnsi="Arial" w:cs="Arial"/>
          <w:sz w:val="24"/>
          <w:szCs w:val="24"/>
        </w:rPr>
      </w:pPr>
      <w:r w:rsidRPr="003C71DD">
        <w:rPr>
          <w:rFonts w:ascii="Arial" w:hAnsi="Arial" w:cs="Arial"/>
          <w:sz w:val="24"/>
          <w:szCs w:val="24"/>
        </w:rPr>
        <w:t xml:space="preserve">S207 affords the Council the ability to issue a notice to ensure replacement of a tree. This would usually be after informal negotiation has failed. It should be noted that where a tree cannot be replanted in the same location then the duty does not fall away, the LPA is able to </w:t>
      </w:r>
      <w:r w:rsidR="009A62F9" w:rsidRPr="003C71DD">
        <w:rPr>
          <w:rFonts w:ascii="Arial" w:hAnsi="Arial" w:cs="Arial"/>
          <w:sz w:val="24"/>
          <w:szCs w:val="24"/>
        </w:rPr>
        <w:t>impose another suitable location.</w:t>
      </w:r>
    </w:p>
    <w:p w14:paraId="56CE91B6" w14:textId="23C18D12" w:rsidR="009A62F9" w:rsidRPr="003C71DD" w:rsidRDefault="009A62F9" w:rsidP="001149F0">
      <w:pPr>
        <w:jc w:val="both"/>
        <w:rPr>
          <w:rFonts w:ascii="Arial" w:hAnsi="Arial" w:cs="Arial"/>
          <w:sz w:val="24"/>
          <w:szCs w:val="24"/>
        </w:rPr>
      </w:pPr>
      <w:r w:rsidRPr="003C71DD">
        <w:rPr>
          <w:rFonts w:ascii="Arial" w:hAnsi="Arial" w:cs="Arial"/>
          <w:sz w:val="24"/>
          <w:szCs w:val="24"/>
        </w:rPr>
        <w:t xml:space="preserve">The Council does have the ability to prosecute against </w:t>
      </w:r>
      <w:r w:rsidR="00EE0EC2" w:rsidRPr="003C71DD">
        <w:rPr>
          <w:rFonts w:ascii="Arial" w:hAnsi="Arial" w:cs="Arial"/>
          <w:sz w:val="24"/>
          <w:szCs w:val="24"/>
        </w:rPr>
        <w:t xml:space="preserve">unlawful works to trees, but must </w:t>
      </w:r>
      <w:r w:rsidR="00ED60ED">
        <w:rPr>
          <w:rFonts w:ascii="Arial" w:hAnsi="Arial" w:cs="Arial"/>
          <w:sz w:val="24"/>
          <w:szCs w:val="24"/>
        </w:rPr>
        <w:t xml:space="preserve">do so in accordance </w:t>
      </w:r>
      <w:r w:rsidR="0058647E">
        <w:rPr>
          <w:rFonts w:ascii="Arial" w:hAnsi="Arial" w:cs="Arial"/>
          <w:sz w:val="24"/>
          <w:szCs w:val="24"/>
        </w:rPr>
        <w:t xml:space="preserve">with its </w:t>
      </w:r>
      <w:proofErr w:type="gramStart"/>
      <w:r w:rsidR="0058647E">
        <w:rPr>
          <w:rFonts w:ascii="Arial" w:hAnsi="Arial" w:cs="Arial"/>
          <w:sz w:val="24"/>
          <w:szCs w:val="24"/>
        </w:rPr>
        <w:t>‘ Planning</w:t>
      </w:r>
      <w:proofErr w:type="gramEnd"/>
      <w:r w:rsidR="0058647E">
        <w:rPr>
          <w:rFonts w:ascii="Arial" w:hAnsi="Arial" w:cs="Arial"/>
          <w:sz w:val="24"/>
          <w:szCs w:val="24"/>
        </w:rPr>
        <w:t xml:space="preserve"> Enforcement Policy’ which </w:t>
      </w:r>
      <w:r w:rsidR="009F3725">
        <w:rPr>
          <w:rFonts w:ascii="Arial" w:hAnsi="Arial" w:cs="Arial"/>
          <w:sz w:val="24"/>
          <w:szCs w:val="24"/>
        </w:rPr>
        <w:t xml:space="preserve">requires it to </w:t>
      </w:r>
      <w:r w:rsidR="00EE0EC2" w:rsidRPr="003C71DD">
        <w:rPr>
          <w:rFonts w:ascii="Arial" w:hAnsi="Arial" w:cs="Arial"/>
          <w:sz w:val="24"/>
          <w:szCs w:val="24"/>
        </w:rPr>
        <w:t>consider the proportionality of doing so and any other available options.</w:t>
      </w:r>
    </w:p>
    <w:p w14:paraId="14E018CF" w14:textId="1AA7E568" w:rsidR="00EE0EC2" w:rsidRPr="003C71DD" w:rsidRDefault="00EE0EC2" w:rsidP="001149F0">
      <w:pPr>
        <w:jc w:val="both"/>
        <w:rPr>
          <w:rFonts w:ascii="Arial" w:hAnsi="Arial" w:cs="Arial"/>
          <w:sz w:val="24"/>
          <w:szCs w:val="24"/>
        </w:rPr>
      </w:pPr>
      <w:r w:rsidRPr="003C71DD">
        <w:rPr>
          <w:rFonts w:ascii="Arial" w:hAnsi="Arial" w:cs="Arial"/>
          <w:sz w:val="24"/>
          <w:szCs w:val="24"/>
        </w:rPr>
        <w:t>To undertake a prosecution – the public interest test is the first starting point. This considers the severity of the breach, the wilfulness of the behaviour, whether it can be undone or that the works would have been granted permission should it have been sought.</w:t>
      </w:r>
    </w:p>
    <w:p w14:paraId="1B2A77D5" w14:textId="1448F76D" w:rsidR="00EE0EC2" w:rsidRPr="003C71DD" w:rsidRDefault="00EE0EC2" w:rsidP="001149F0">
      <w:pPr>
        <w:jc w:val="both"/>
        <w:rPr>
          <w:rFonts w:ascii="Arial" w:hAnsi="Arial" w:cs="Arial"/>
          <w:sz w:val="24"/>
          <w:szCs w:val="24"/>
        </w:rPr>
      </w:pPr>
      <w:r w:rsidRPr="003C71DD">
        <w:rPr>
          <w:rFonts w:ascii="Arial" w:hAnsi="Arial" w:cs="Arial"/>
          <w:sz w:val="24"/>
          <w:szCs w:val="24"/>
        </w:rPr>
        <w:lastRenderedPageBreak/>
        <w:t xml:space="preserve">Where (usually following an interview under caution) guilt has been admitted the Council is able to issue a “Simple Caution”. This is a formal caution </w:t>
      </w:r>
      <w:proofErr w:type="gramStart"/>
      <w:r w:rsidRPr="003C71DD">
        <w:rPr>
          <w:rFonts w:ascii="Arial" w:hAnsi="Arial" w:cs="Arial"/>
          <w:sz w:val="24"/>
          <w:szCs w:val="24"/>
        </w:rPr>
        <w:t>similar to</w:t>
      </w:r>
      <w:proofErr w:type="gramEnd"/>
      <w:r w:rsidRPr="003C71DD">
        <w:rPr>
          <w:rFonts w:ascii="Arial" w:hAnsi="Arial" w:cs="Arial"/>
          <w:sz w:val="24"/>
          <w:szCs w:val="24"/>
        </w:rPr>
        <w:t xml:space="preserve"> those used by the police.</w:t>
      </w:r>
    </w:p>
    <w:p w14:paraId="4E48CD97" w14:textId="1FF045C1" w:rsidR="00EE0EC2" w:rsidRPr="003C71DD" w:rsidRDefault="00EE0EC2" w:rsidP="001149F0">
      <w:pPr>
        <w:jc w:val="both"/>
        <w:rPr>
          <w:rFonts w:ascii="Arial" w:hAnsi="Arial" w:cs="Arial"/>
          <w:sz w:val="24"/>
          <w:szCs w:val="24"/>
        </w:rPr>
      </w:pPr>
      <w:r w:rsidRPr="003C71DD">
        <w:rPr>
          <w:rFonts w:ascii="Arial" w:hAnsi="Arial" w:cs="Arial"/>
          <w:sz w:val="24"/>
          <w:szCs w:val="24"/>
        </w:rPr>
        <w:t xml:space="preserve">Where guilt has not been established but a clear offence has taken place the Council can issue an informal caution, which goes on record and can be used should further breaches take place on the same site. </w:t>
      </w:r>
    </w:p>
    <w:sectPr w:rsidR="00EE0EC2" w:rsidRPr="003C7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F0"/>
    <w:rsid w:val="000943C7"/>
    <w:rsid w:val="001115C9"/>
    <w:rsid w:val="001149F0"/>
    <w:rsid w:val="00185555"/>
    <w:rsid w:val="001C1D82"/>
    <w:rsid w:val="00275E7A"/>
    <w:rsid w:val="002C2A7D"/>
    <w:rsid w:val="003C71DD"/>
    <w:rsid w:val="003D1419"/>
    <w:rsid w:val="004429FE"/>
    <w:rsid w:val="004909B0"/>
    <w:rsid w:val="0058647E"/>
    <w:rsid w:val="005C530D"/>
    <w:rsid w:val="00600437"/>
    <w:rsid w:val="008B08B7"/>
    <w:rsid w:val="008C1AFF"/>
    <w:rsid w:val="009A62F9"/>
    <w:rsid w:val="009F3725"/>
    <w:rsid w:val="00A859F8"/>
    <w:rsid w:val="00AC51BB"/>
    <w:rsid w:val="00AD5C6E"/>
    <w:rsid w:val="00AD7333"/>
    <w:rsid w:val="00B91D56"/>
    <w:rsid w:val="00B974A5"/>
    <w:rsid w:val="00CA5CDD"/>
    <w:rsid w:val="00E05236"/>
    <w:rsid w:val="00EA7CAD"/>
    <w:rsid w:val="00EB620B"/>
    <w:rsid w:val="00ED60ED"/>
    <w:rsid w:val="00EE0EC2"/>
    <w:rsid w:val="00F6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965D"/>
  <w15:chartTrackingRefBased/>
  <w15:docId w15:val="{399CEEE2-AB2A-4F65-9786-27F1FF4A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76712FD1C164EA1EBB6902969A89F" ma:contentTypeVersion="11" ma:contentTypeDescription="Create a new document." ma:contentTypeScope="" ma:versionID="1ed50e35c0ab45459f43b20ae01328b6">
  <xsd:schema xmlns:xsd="http://www.w3.org/2001/XMLSchema" xmlns:xs="http://www.w3.org/2001/XMLSchema" xmlns:p="http://schemas.microsoft.com/office/2006/metadata/properties" xmlns:ns3="87fc24b5-8505-429c-a738-b9a40b59fc02" xmlns:ns4="b6ebf620-a7a2-4e77-bc41-2762926ef4df" targetNamespace="http://schemas.microsoft.com/office/2006/metadata/properties" ma:root="true" ma:fieldsID="97474a308c681d328dc74cc21c7ea4f1" ns3:_="" ns4:_="">
    <xsd:import namespace="87fc24b5-8505-429c-a738-b9a40b59fc02"/>
    <xsd:import namespace="b6ebf620-a7a2-4e77-bc41-2762926ef4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c24b5-8505-429c-a738-b9a40b59f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bf620-a7a2-4e77-bc41-2762926ef4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BB023-17E1-4277-82C7-65901FD02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4F73F-5A02-43AC-A7AE-B3177704622A}">
  <ds:schemaRefs>
    <ds:schemaRef ds:uri="http://schemas.microsoft.com/sharepoint/v3/contenttype/forms"/>
  </ds:schemaRefs>
</ds:datastoreItem>
</file>

<file path=customXml/itemProps3.xml><?xml version="1.0" encoding="utf-8"?>
<ds:datastoreItem xmlns:ds="http://schemas.openxmlformats.org/officeDocument/2006/customXml" ds:itemID="{51703F54-379B-4F89-90C4-537DEF84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c24b5-8505-429c-a738-b9a40b59fc02"/>
    <ds:schemaRef ds:uri="b6ebf620-a7a2-4e77-bc41-2762926e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Morren</dc:creator>
  <cp:keywords/>
  <dc:description/>
  <cp:lastModifiedBy>Alison Atherton</cp:lastModifiedBy>
  <cp:revision>2</cp:revision>
  <dcterms:created xsi:type="dcterms:W3CDTF">2022-01-18T16:13:00Z</dcterms:created>
  <dcterms:modified xsi:type="dcterms:W3CDTF">2022-01-18T16:13:00Z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0x01010001476712FD1C164EA1EBB6902969A89F</vt:lpwstr>
  </property>
</Properties>
</file>